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3E" w:rsidRPr="00D75126" w:rsidRDefault="00304604" w:rsidP="00304604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D75126">
        <w:rPr>
          <w:rFonts w:asciiTheme="majorHAnsi" w:hAnsiTheme="majorHAnsi"/>
          <w:b/>
          <w:sz w:val="24"/>
          <w:szCs w:val="24"/>
        </w:rPr>
        <w:t>Mobridge-Pollock Middle School</w:t>
      </w:r>
    </w:p>
    <w:p w:rsidR="00304604" w:rsidRPr="00D75126" w:rsidRDefault="000856B6" w:rsidP="00304604">
      <w:pPr>
        <w:spacing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August 2012</w:t>
      </w:r>
      <w:r w:rsidR="00F00CDF" w:rsidRPr="00D75126">
        <w:rPr>
          <w:rFonts w:asciiTheme="majorHAnsi" w:hAnsiTheme="majorHAnsi"/>
          <w:b/>
          <w:sz w:val="24"/>
          <w:szCs w:val="24"/>
        </w:rPr>
        <w:t xml:space="preserve"> </w:t>
      </w:r>
      <w:r w:rsidR="00304604" w:rsidRPr="00D75126">
        <w:rPr>
          <w:rFonts w:asciiTheme="majorHAnsi" w:hAnsiTheme="majorHAnsi"/>
          <w:b/>
          <w:sz w:val="24"/>
          <w:szCs w:val="24"/>
        </w:rPr>
        <w:t>Board Report</w:t>
      </w:r>
      <w:r w:rsidR="00650BC1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296545</wp:posOffset>
            </wp:positionV>
            <wp:extent cx="5514975" cy="2114550"/>
            <wp:effectExtent l="19050" t="0" r="9525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FE0168" w:rsidRDefault="00FE0168" w:rsidP="00304604">
      <w:pPr>
        <w:spacing w:line="240" w:lineRule="auto"/>
        <w:rPr>
          <w:rFonts w:ascii="Century Gothic" w:hAnsi="Century Gothic"/>
          <w:b/>
          <w:sz w:val="24"/>
          <w:szCs w:val="24"/>
          <w:u w:val="single"/>
        </w:rPr>
      </w:pPr>
    </w:p>
    <w:p w:rsidR="00E90B3C" w:rsidRPr="00213775" w:rsidRDefault="00120D6C" w:rsidP="00304604">
      <w:pPr>
        <w:spacing w:line="24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232410</wp:posOffset>
            </wp:positionV>
            <wp:extent cx="5514975" cy="2114550"/>
            <wp:effectExtent l="19050" t="0" r="9525" b="0"/>
            <wp:wrapNone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D80246" w:rsidRDefault="00D80246" w:rsidP="00D80246">
      <w:pPr>
        <w:pStyle w:val="ListParagraph"/>
        <w:spacing w:line="240" w:lineRule="auto"/>
        <w:ind w:left="1080"/>
        <w:rPr>
          <w:rFonts w:ascii="Century Gothic" w:hAnsi="Century Gothic"/>
          <w:i/>
          <w:sz w:val="24"/>
          <w:szCs w:val="24"/>
        </w:rPr>
      </w:pPr>
    </w:p>
    <w:p w:rsidR="00D80246" w:rsidRDefault="00D80246" w:rsidP="00D80246">
      <w:pPr>
        <w:spacing w:line="240" w:lineRule="auto"/>
        <w:rPr>
          <w:rFonts w:ascii="Century Gothic" w:hAnsi="Century Gothic"/>
          <w:sz w:val="24"/>
          <w:szCs w:val="24"/>
        </w:rPr>
      </w:pPr>
    </w:p>
    <w:p w:rsidR="00213775" w:rsidRDefault="00A40605" w:rsidP="00A40605">
      <w:pPr>
        <w:tabs>
          <w:tab w:val="left" w:pos="7485"/>
        </w:tabs>
        <w:spacing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</w:p>
    <w:p w:rsidR="00213775" w:rsidRDefault="00213775" w:rsidP="00D80246">
      <w:pPr>
        <w:spacing w:line="240" w:lineRule="auto"/>
        <w:rPr>
          <w:rFonts w:ascii="Century Gothic" w:hAnsi="Century Gothic"/>
          <w:sz w:val="24"/>
          <w:szCs w:val="24"/>
        </w:rPr>
      </w:pPr>
    </w:p>
    <w:p w:rsidR="00213775" w:rsidRDefault="00213775" w:rsidP="00D80246">
      <w:pPr>
        <w:spacing w:line="240" w:lineRule="auto"/>
        <w:rPr>
          <w:rFonts w:ascii="Century Gothic" w:hAnsi="Century Gothic"/>
          <w:sz w:val="24"/>
          <w:szCs w:val="24"/>
        </w:rPr>
      </w:pPr>
    </w:p>
    <w:p w:rsidR="00213775" w:rsidRDefault="00213775" w:rsidP="00D80246">
      <w:pPr>
        <w:spacing w:line="240" w:lineRule="auto"/>
        <w:rPr>
          <w:rFonts w:ascii="Century Gothic" w:hAnsi="Century Gothic"/>
          <w:sz w:val="24"/>
          <w:szCs w:val="24"/>
        </w:rPr>
      </w:pPr>
    </w:p>
    <w:p w:rsidR="00213775" w:rsidRDefault="00213775" w:rsidP="00D80246">
      <w:pPr>
        <w:spacing w:line="240" w:lineRule="auto"/>
        <w:rPr>
          <w:rFonts w:ascii="Century Gothic" w:hAnsi="Century Gothic"/>
          <w:sz w:val="24"/>
          <w:szCs w:val="24"/>
        </w:rPr>
      </w:pPr>
    </w:p>
    <w:p w:rsidR="00375F03" w:rsidRDefault="00A115AD" w:rsidP="00D44803">
      <w:pPr>
        <w:spacing w:after="0" w:line="240" w:lineRule="auto"/>
        <w:rPr>
          <w:b/>
          <w:sz w:val="24"/>
          <w:szCs w:val="24"/>
          <w:u w:val="single"/>
        </w:rPr>
      </w:pPr>
      <w:r w:rsidRPr="00A115AD">
        <w:rPr>
          <w:b/>
          <w:sz w:val="24"/>
          <w:szCs w:val="24"/>
          <w:u w:val="single"/>
        </w:rPr>
        <w:t>Areas of Success</w:t>
      </w:r>
    </w:p>
    <w:p w:rsidR="00A115AD" w:rsidRPr="00A115AD" w:rsidRDefault="00A115AD" w:rsidP="00D44803">
      <w:pPr>
        <w:pStyle w:val="ListParagraph"/>
        <w:numPr>
          <w:ilvl w:val="0"/>
          <w:numId w:val="5"/>
        </w:numPr>
        <w:spacing w:after="0" w:line="24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Continued overall improvement in attendance rate: </w:t>
      </w:r>
    </w:p>
    <w:p w:rsidR="00A115AD" w:rsidRPr="00A115AD" w:rsidRDefault="00A115AD" w:rsidP="00D44803">
      <w:pPr>
        <w:pStyle w:val="ListParagraph"/>
        <w:spacing w:after="0" w:line="240" w:lineRule="auto"/>
        <w:rPr>
          <w:b/>
          <w:sz w:val="24"/>
          <w:szCs w:val="24"/>
          <w:u w:val="single"/>
        </w:rPr>
      </w:pPr>
      <w:r w:rsidRPr="00A115AD">
        <w:rPr>
          <w:b/>
          <w:sz w:val="24"/>
          <w:szCs w:val="24"/>
        </w:rPr>
        <w:t>2010</w:t>
      </w:r>
      <w:r>
        <w:rPr>
          <w:sz w:val="24"/>
          <w:szCs w:val="24"/>
        </w:rPr>
        <w:t xml:space="preserve"> – 94.22%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15AD">
        <w:rPr>
          <w:b/>
          <w:sz w:val="24"/>
          <w:szCs w:val="24"/>
        </w:rPr>
        <w:t>2011</w:t>
      </w:r>
      <w:r>
        <w:rPr>
          <w:sz w:val="24"/>
          <w:szCs w:val="24"/>
        </w:rPr>
        <w:t xml:space="preserve"> – 94.64%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15AD">
        <w:rPr>
          <w:b/>
          <w:sz w:val="24"/>
          <w:szCs w:val="24"/>
        </w:rPr>
        <w:t>2012</w:t>
      </w:r>
      <w:r>
        <w:rPr>
          <w:sz w:val="24"/>
          <w:szCs w:val="24"/>
        </w:rPr>
        <w:t xml:space="preserve"> – 95.3</w:t>
      </w:r>
      <w:r w:rsidR="00FA3622">
        <w:rPr>
          <w:sz w:val="24"/>
          <w:szCs w:val="24"/>
        </w:rPr>
        <w:t>0</w:t>
      </w:r>
      <w:r>
        <w:rPr>
          <w:sz w:val="24"/>
          <w:szCs w:val="24"/>
        </w:rPr>
        <w:t>%</w:t>
      </w:r>
    </w:p>
    <w:p w:rsidR="00A115AD" w:rsidRPr="00A115AD" w:rsidRDefault="00A115AD" w:rsidP="00D44803">
      <w:pPr>
        <w:pStyle w:val="ListParagraph"/>
        <w:numPr>
          <w:ilvl w:val="0"/>
          <w:numId w:val="5"/>
        </w:numPr>
        <w:spacing w:after="0" w:line="24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Continued sustainable growth in two out of three critical reading subgroups (Native American, Economically Disadvantaged, Students with Disabilities)</w:t>
      </w:r>
    </w:p>
    <w:p w:rsidR="00A115AD" w:rsidRPr="00D44803" w:rsidRDefault="003839E4" w:rsidP="00D44803">
      <w:pPr>
        <w:pStyle w:val="ListParagraph"/>
        <w:numPr>
          <w:ilvl w:val="0"/>
          <w:numId w:val="5"/>
        </w:numPr>
        <w:spacing w:after="0" w:line="24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Showed progress in all three critical math subgroups, including a 9% growth for Native Americans.</w:t>
      </w:r>
    </w:p>
    <w:p w:rsidR="00D44803" w:rsidRPr="003839E4" w:rsidRDefault="00D44803" w:rsidP="00D44803">
      <w:pPr>
        <w:pStyle w:val="ListParagraph"/>
        <w:spacing w:after="0" w:line="240" w:lineRule="auto"/>
        <w:rPr>
          <w:b/>
          <w:sz w:val="24"/>
          <w:szCs w:val="24"/>
          <w:u w:val="single"/>
        </w:rPr>
      </w:pPr>
    </w:p>
    <w:p w:rsidR="003839E4" w:rsidRDefault="003839E4" w:rsidP="00D44803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Areas of Concern</w:t>
      </w:r>
    </w:p>
    <w:p w:rsidR="00D44803" w:rsidRPr="004E3CA3" w:rsidRDefault="003839E4" w:rsidP="004E3CA3">
      <w:pPr>
        <w:pStyle w:val="ListParagraph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Students with Disabilities subgroup for both reading and math has shown some progress over the last three years but is still far behind other subgroups</w:t>
      </w:r>
    </w:p>
    <w:p w:rsidR="004D4339" w:rsidRDefault="007A27F4" w:rsidP="00D44803">
      <w:pPr>
        <w:spacing w:after="0" w:line="240" w:lineRule="auto"/>
        <w:rPr>
          <w:b/>
          <w:sz w:val="24"/>
          <w:szCs w:val="24"/>
          <w:u w:val="single"/>
        </w:rPr>
      </w:pPr>
      <w:r w:rsidRPr="007A27F4">
        <w:rPr>
          <w:b/>
          <w:sz w:val="24"/>
          <w:szCs w:val="24"/>
          <w:u w:val="single"/>
        </w:rPr>
        <w:t>2012-13 Inter</w:t>
      </w:r>
      <w:r w:rsidR="00D44803">
        <w:rPr>
          <w:b/>
          <w:sz w:val="24"/>
          <w:szCs w:val="24"/>
          <w:u w:val="single"/>
        </w:rPr>
        <w:t>ventions / Reasons for recent</w:t>
      </w:r>
      <w:r w:rsidRPr="007A27F4">
        <w:rPr>
          <w:b/>
          <w:sz w:val="24"/>
          <w:szCs w:val="24"/>
          <w:u w:val="single"/>
        </w:rPr>
        <w:t xml:space="preserve"> Improvement</w:t>
      </w:r>
    </w:p>
    <w:p w:rsidR="007A27F4" w:rsidRDefault="007A27F4" w:rsidP="00D44803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Restructured Title I Reading and Math in 2011, resulting in smaller class sizes with more intensive instruction focused on individual needs.</w:t>
      </w:r>
    </w:p>
    <w:p w:rsidR="007A27F4" w:rsidRDefault="007A27F4" w:rsidP="00D44803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Teaming Time (TTA) – Collaboration and Professional Development</w:t>
      </w:r>
    </w:p>
    <w:p w:rsidR="007A27F4" w:rsidRDefault="007A27F4" w:rsidP="00D44803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AIMSweb</w:t>
      </w:r>
      <w:proofErr w:type="spellEnd"/>
      <w:r>
        <w:rPr>
          <w:sz w:val="24"/>
          <w:szCs w:val="24"/>
        </w:rPr>
        <w:t xml:space="preserve"> Reading and Math</w:t>
      </w:r>
    </w:p>
    <w:p w:rsidR="007A27F4" w:rsidRDefault="00D44803" w:rsidP="00D44803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Middle School Incentive Program</w:t>
      </w:r>
    </w:p>
    <w:p w:rsidR="00D44803" w:rsidRPr="007A27F4" w:rsidRDefault="00D03E9E" w:rsidP="00D44803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“It is people, not programs that determine the quality of a school” (Todd Whitaker) – We have great teachers!</w:t>
      </w:r>
    </w:p>
    <w:sectPr w:rsidR="00D44803" w:rsidRPr="007A27F4" w:rsidSect="007A27F4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BB7"/>
    <w:multiLevelType w:val="hybridMultilevel"/>
    <w:tmpl w:val="4404C27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2641AB"/>
    <w:multiLevelType w:val="hybridMultilevel"/>
    <w:tmpl w:val="F5DED4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203D8"/>
    <w:multiLevelType w:val="hybridMultilevel"/>
    <w:tmpl w:val="D38088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3F24CE"/>
    <w:multiLevelType w:val="hybridMultilevel"/>
    <w:tmpl w:val="2B64EF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C02F82"/>
    <w:multiLevelType w:val="hybridMultilevel"/>
    <w:tmpl w:val="9F167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F4515"/>
    <w:multiLevelType w:val="hybridMultilevel"/>
    <w:tmpl w:val="FAC63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352B0"/>
    <w:multiLevelType w:val="hybridMultilevel"/>
    <w:tmpl w:val="3C2000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A239C3"/>
    <w:multiLevelType w:val="hybridMultilevel"/>
    <w:tmpl w:val="4E242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4604"/>
    <w:rsid w:val="000856B6"/>
    <w:rsid w:val="00085A40"/>
    <w:rsid w:val="000970A8"/>
    <w:rsid w:val="000C2749"/>
    <w:rsid w:val="00120D6C"/>
    <w:rsid w:val="00213775"/>
    <w:rsid w:val="00304604"/>
    <w:rsid w:val="0031543A"/>
    <w:rsid w:val="00316087"/>
    <w:rsid w:val="00375F03"/>
    <w:rsid w:val="003839E4"/>
    <w:rsid w:val="00456608"/>
    <w:rsid w:val="0046413E"/>
    <w:rsid w:val="004D4339"/>
    <w:rsid w:val="004E3CA3"/>
    <w:rsid w:val="00650BC1"/>
    <w:rsid w:val="007A27F4"/>
    <w:rsid w:val="00813499"/>
    <w:rsid w:val="00887B99"/>
    <w:rsid w:val="008E3456"/>
    <w:rsid w:val="00905B6B"/>
    <w:rsid w:val="0095238C"/>
    <w:rsid w:val="00A115AD"/>
    <w:rsid w:val="00A40605"/>
    <w:rsid w:val="00AE301C"/>
    <w:rsid w:val="00D03E9E"/>
    <w:rsid w:val="00D44803"/>
    <w:rsid w:val="00D75126"/>
    <w:rsid w:val="00D80246"/>
    <w:rsid w:val="00E772EF"/>
    <w:rsid w:val="00E90B3C"/>
    <w:rsid w:val="00F00CDF"/>
    <w:rsid w:val="00F4150C"/>
    <w:rsid w:val="00FA3622"/>
    <w:rsid w:val="00FE0168"/>
    <w:rsid w:val="00FE2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604"/>
    <w:pPr>
      <w:ind w:left="720"/>
      <w:contextualSpacing/>
    </w:pPr>
  </w:style>
  <w:style w:type="table" w:styleId="TableGrid">
    <w:name w:val="Table Grid"/>
    <w:basedOn w:val="TableNormal"/>
    <w:uiPriority w:val="59"/>
    <w:rsid w:val="0031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0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MPMS </a:t>
            </a:r>
            <a:r>
              <a:rPr lang="en-US">
                <a:solidFill>
                  <a:srgbClr val="FF0000"/>
                </a:solidFill>
              </a:rPr>
              <a:t>Reading</a:t>
            </a:r>
            <a:r>
              <a:rPr lang="en-US"/>
              <a:t> Proficiency Trends</a:t>
            </a:r>
          </a:p>
        </c:rich>
      </c:tx>
      <c:layout/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Reading!$B$1</c:f>
              <c:strCache>
                <c:ptCount val="1"/>
                <c:pt idx="0">
                  <c:v>2010</c:v>
                </c:pt>
              </c:strCache>
            </c:strRef>
          </c:tx>
          <c:cat>
            <c:strRef>
              <c:f>Reading!$A$2:$A$6</c:f>
              <c:strCache>
                <c:ptCount val="5"/>
                <c:pt idx="0">
                  <c:v>All</c:v>
                </c:pt>
                <c:pt idx="1">
                  <c:v>Native Am.</c:v>
                </c:pt>
                <c:pt idx="2">
                  <c:v>White</c:v>
                </c:pt>
                <c:pt idx="3">
                  <c:v>Disab</c:v>
                </c:pt>
                <c:pt idx="4">
                  <c:v>Econ Dis</c:v>
                </c:pt>
              </c:strCache>
            </c:strRef>
          </c:cat>
          <c:val>
            <c:numRef>
              <c:f>Reading!$B$2:$B$6</c:f>
              <c:numCache>
                <c:formatCode>General</c:formatCode>
                <c:ptCount val="5"/>
                <c:pt idx="0">
                  <c:v>69</c:v>
                </c:pt>
                <c:pt idx="1">
                  <c:v>37</c:v>
                </c:pt>
                <c:pt idx="2">
                  <c:v>79</c:v>
                </c:pt>
                <c:pt idx="3">
                  <c:v>7</c:v>
                </c:pt>
                <c:pt idx="4">
                  <c:v>52</c:v>
                </c:pt>
              </c:numCache>
            </c:numRef>
          </c:val>
        </c:ser>
        <c:ser>
          <c:idx val="1"/>
          <c:order val="1"/>
          <c:tx>
            <c:strRef>
              <c:f>Reading!$C$1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Reading!$A$2:$A$6</c:f>
              <c:strCache>
                <c:ptCount val="5"/>
                <c:pt idx="0">
                  <c:v>All</c:v>
                </c:pt>
                <c:pt idx="1">
                  <c:v>Native Am.</c:v>
                </c:pt>
                <c:pt idx="2">
                  <c:v>White</c:v>
                </c:pt>
                <c:pt idx="3">
                  <c:v>Disab</c:v>
                </c:pt>
                <c:pt idx="4">
                  <c:v>Econ Dis</c:v>
                </c:pt>
              </c:strCache>
            </c:strRef>
          </c:cat>
          <c:val>
            <c:numRef>
              <c:f>Reading!$C$2:$C$6</c:f>
              <c:numCache>
                <c:formatCode>General</c:formatCode>
                <c:ptCount val="5"/>
                <c:pt idx="0">
                  <c:v>72</c:v>
                </c:pt>
                <c:pt idx="1">
                  <c:v>56</c:v>
                </c:pt>
                <c:pt idx="2">
                  <c:v>78</c:v>
                </c:pt>
                <c:pt idx="3">
                  <c:v>36</c:v>
                </c:pt>
                <c:pt idx="4">
                  <c:v>63</c:v>
                </c:pt>
              </c:numCache>
            </c:numRef>
          </c:val>
        </c:ser>
        <c:ser>
          <c:idx val="2"/>
          <c:order val="2"/>
          <c:tx>
            <c:strRef>
              <c:f>Reading!$D$1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Reading!$A$2:$A$6</c:f>
              <c:strCache>
                <c:ptCount val="5"/>
                <c:pt idx="0">
                  <c:v>All</c:v>
                </c:pt>
                <c:pt idx="1">
                  <c:v>Native Am.</c:v>
                </c:pt>
                <c:pt idx="2">
                  <c:v>White</c:v>
                </c:pt>
                <c:pt idx="3">
                  <c:v>Disab</c:v>
                </c:pt>
                <c:pt idx="4">
                  <c:v>Econ Dis</c:v>
                </c:pt>
              </c:strCache>
            </c:strRef>
          </c:cat>
          <c:val>
            <c:numRef>
              <c:f>Reading!$D$2:$D$6</c:f>
              <c:numCache>
                <c:formatCode>General</c:formatCode>
                <c:ptCount val="5"/>
                <c:pt idx="0">
                  <c:v>76</c:v>
                </c:pt>
                <c:pt idx="1">
                  <c:v>65</c:v>
                </c:pt>
                <c:pt idx="2">
                  <c:v>80</c:v>
                </c:pt>
                <c:pt idx="3">
                  <c:v>23</c:v>
                </c:pt>
                <c:pt idx="4">
                  <c:v>65</c:v>
                </c:pt>
              </c:numCache>
            </c:numRef>
          </c:val>
        </c:ser>
        <c:dLbls>
          <c:showVal val="1"/>
        </c:dLbls>
        <c:shape val="box"/>
        <c:axId val="74965376"/>
        <c:axId val="74968448"/>
        <c:axId val="0"/>
      </c:bar3DChart>
      <c:catAx>
        <c:axId val="74965376"/>
        <c:scaling>
          <c:orientation val="minMax"/>
        </c:scaling>
        <c:axPos val="b"/>
        <c:tickLblPos val="nextTo"/>
        <c:crossAx val="74968448"/>
        <c:crosses val="autoZero"/>
        <c:auto val="1"/>
        <c:lblAlgn val="ctr"/>
        <c:lblOffset val="100"/>
      </c:catAx>
      <c:valAx>
        <c:axId val="74968448"/>
        <c:scaling>
          <c:orientation val="minMax"/>
        </c:scaling>
        <c:axPos val="l"/>
        <c:majorGridlines/>
        <c:numFmt formatCode="General" sourceLinked="1"/>
        <c:tickLblPos val="nextTo"/>
        <c:crossAx val="74965376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800"/>
          </a:pPr>
          <a:endParaRPr lang="en-US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MPHS </a:t>
            </a:r>
            <a:r>
              <a:rPr lang="en-US">
                <a:solidFill>
                  <a:srgbClr val="FF0000"/>
                </a:solidFill>
              </a:rPr>
              <a:t>Math</a:t>
            </a:r>
            <a:r>
              <a:rPr lang="en-US"/>
              <a:t> Proficiency Trends</a:t>
            </a:r>
          </a:p>
        </c:rich>
      </c:tx>
      <c:layout/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Math!$B$1</c:f>
              <c:strCache>
                <c:ptCount val="1"/>
                <c:pt idx="0">
                  <c:v>2010</c:v>
                </c:pt>
              </c:strCache>
            </c:strRef>
          </c:tx>
          <c:cat>
            <c:strRef>
              <c:f>Math!$A$2:$A$6</c:f>
              <c:strCache>
                <c:ptCount val="5"/>
                <c:pt idx="0">
                  <c:v>All</c:v>
                </c:pt>
                <c:pt idx="1">
                  <c:v>Native Am.</c:v>
                </c:pt>
                <c:pt idx="2">
                  <c:v>White</c:v>
                </c:pt>
                <c:pt idx="3">
                  <c:v>Disab</c:v>
                </c:pt>
                <c:pt idx="4">
                  <c:v>Econ Dis</c:v>
                </c:pt>
              </c:strCache>
            </c:strRef>
          </c:cat>
          <c:val>
            <c:numRef>
              <c:f>Math!$B$2:$B$6</c:f>
              <c:numCache>
                <c:formatCode>General</c:formatCode>
                <c:ptCount val="5"/>
                <c:pt idx="0">
                  <c:v>70</c:v>
                </c:pt>
                <c:pt idx="1">
                  <c:v>54</c:v>
                </c:pt>
                <c:pt idx="2">
                  <c:v>74</c:v>
                </c:pt>
                <c:pt idx="3">
                  <c:v>14</c:v>
                </c:pt>
                <c:pt idx="4">
                  <c:v>55</c:v>
                </c:pt>
              </c:numCache>
            </c:numRef>
          </c:val>
        </c:ser>
        <c:ser>
          <c:idx val="1"/>
          <c:order val="1"/>
          <c:tx>
            <c:strRef>
              <c:f>Math!$C$1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Math!$A$2:$A$6</c:f>
              <c:strCache>
                <c:ptCount val="5"/>
                <c:pt idx="0">
                  <c:v>All</c:v>
                </c:pt>
                <c:pt idx="1">
                  <c:v>Native Am.</c:v>
                </c:pt>
                <c:pt idx="2">
                  <c:v>White</c:v>
                </c:pt>
                <c:pt idx="3">
                  <c:v>Disab</c:v>
                </c:pt>
                <c:pt idx="4">
                  <c:v>Econ Dis</c:v>
                </c:pt>
              </c:strCache>
            </c:strRef>
          </c:cat>
          <c:val>
            <c:numRef>
              <c:f>Math!$C$2:$C$6</c:f>
              <c:numCache>
                <c:formatCode>General</c:formatCode>
                <c:ptCount val="5"/>
                <c:pt idx="0">
                  <c:v>70</c:v>
                </c:pt>
                <c:pt idx="1">
                  <c:v>54</c:v>
                </c:pt>
                <c:pt idx="2">
                  <c:v>77</c:v>
                </c:pt>
                <c:pt idx="3">
                  <c:v>21</c:v>
                </c:pt>
                <c:pt idx="4">
                  <c:v>60</c:v>
                </c:pt>
              </c:numCache>
            </c:numRef>
          </c:val>
        </c:ser>
        <c:ser>
          <c:idx val="2"/>
          <c:order val="2"/>
          <c:tx>
            <c:strRef>
              <c:f>Math!$D$1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Math!$A$2:$A$6</c:f>
              <c:strCache>
                <c:ptCount val="5"/>
                <c:pt idx="0">
                  <c:v>All</c:v>
                </c:pt>
                <c:pt idx="1">
                  <c:v>Native Am.</c:v>
                </c:pt>
                <c:pt idx="2">
                  <c:v>White</c:v>
                </c:pt>
                <c:pt idx="3">
                  <c:v>Disab</c:v>
                </c:pt>
                <c:pt idx="4">
                  <c:v>Econ Dis</c:v>
                </c:pt>
              </c:strCache>
            </c:strRef>
          </c:cat>
          <c:val>
            <c:numRef>
              <c:f>Math!$D$2:$D$6</c:f>
              <c:numCache>
                <c:formatCode>General</c:formatCode>
                <c:ptCount val="5"/>
                <c:pt idx="0">
                  <c:v>70</c:v>
                </c:pt>
                <c:pt idx="1">
                  <c:v>63</c:v>
                </c:pt>
                <c:pt idx="2">
                  <c:v>76</c:v>
                </c:pt>
                <c:pt idx="3">
                  <c:v>23</c:v>
                </c:pt>
                <c:pt idx="4">
                  <c:v>61</c:v>
                </c:pt>
              </c:numCache>
            </c:numRef>
          </c:val>
        </c:ser>
        <c:dLbls>
          <c:showVal val="1"/>
        </c:dLbls>
        <c:shape val="box"/>
        <c:axId val="75526912"/>
        <c:axId val="75529600"/>
        <c:axId val="0"/>
      </c:bar3DChart>
      <c:catAx>
        <c:axId val="75526912"/>
        <c:scaling>
          <c:orientation val="minMax"/>
        </c:scaling>
        <c:axPos val="b"/>
        <c:tickLblPos val="nextTo"/>
        <c:crossAx val="75529600"/>
        <c:crosses val="autoZero"/>
        <c:auto val="1"/>
        <c:lblAlgn val="ctr"/>
        <c:lblOffset val="100"/>
      </c:catAx>
      <c:valAx>
        <c:axId val="75529600"/>
        <c:scaling>
          <c:orientation val="minMax"/>
        </c:scaling>
        <c:axPos val="l"/>
        <c:majorGridlines/>
        <c:numFmt formatCode="General" sourceLinked="1"/>
        <c:tickLblPos val="nextTo"/>
        <c:crossAx val="75526912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800"/>
          </a:pPr>
          <a:endParaRPr lang="en-US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lenzj</dc:creator>
  <cp:keywords/>
  <dc:description/>
  <cp:lastModifiedBy>lenzj</cp:lastModifiedBy>
  <cp:revision>7</cp:revision>
  <cp:lastPrinted>2012-08-13T16:01:00Z</cp:lastPrinted>
  <dcterms:created xsi:type="dcterms:W3CDTF">2012-08-13T16:35:00Z</dcterms:created>
  <dcterms:modified xsi:type="dcterms:W3CDTF">2012-08-13T19:38:00Z</dcterms:modified>
</cp:coreProperties>
</file>